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CD" w:rsidRPr="004973CD" w:rsidRDefault="004973CD" w:rsidP="004973CD">
      <w:pPr>
        <w:keepLines/>
        <w:snapToGrid w:val="0"/>
        <w:spacing w:before="260" w:after="120"/>
        <w:jc w:val="center"/>
        <w:outlineLvl w:val="1"/>
        <w:rPr>
          <w:rFonts w:ascii="Arial" w:eastAsia="方正大标宋简体" w:hAnsi="Arial" w:cs="Times New Roman"/>
          <w:bCs/>
          <w:sz w:val="36"/>
          <w:szCs w:val="36"/>
          <w:u w:color="FF00FF"/>
        </w:rPr>
      </w:pPr>
      <w:bookmarkStart w:id="0" w:name="_Toc266120788"/>
      <w:bookmarkStart w:id="1" w:name="_Toc266120705"/>
      <w:r w:rsidRPr="004973CD">
        <w:rPr>
          <w:rFonts w:ascii="Arial" w:eastAsia="方正大标宋简体" w:hAnsi="Arial" w:cs="Times New Roman" w:hint="eastAsia"/>
          <w:bCs/>
          <w:sz w:val="36"/>
          <w:szCs w:val="36"/>
          <w:u w:color="FF00FF"/>
        </w:rPr>
        <w:t>西南交通大学教师教学工作规范</w:t>
      </w:r>
      <w:bookmarkEnd w:id="0"/>
      <w:bookmarkEnd w:id="1"/>
    </w:p>
    <w:p w:rsidR="004973CD" w:rsidRPr="004973CD" w:rsidRDefault="004973CD" w:rsidP="004973CD">
      <w:pPr>
        <w:snapToGrid w:val="0"/>
        <w:spacing w:afterLines="100" w:line="348" w:lineRule="exact"/>
        <w:jc w:val="center"/>
        <w:rPr>
          <w:rFonts w:ascii="方正大标宋简体" w:eastAsia="方正大标宋简体" w:hAnsi="Times New Roman" w:cs="Times New Roman"/>
          <w:bCs/>
          <w:szCs w:val="21"/>
        </w:rPr>
      </w:pPr>
      <w:r w:rsidRPr="004973CD">
        <w:rPr>
          <w:rFonts w:ascii="方正大标宋简体" w:eastAsia="方正大标宋简体" w:hAnsi="华文宋体" w:cs="Times New Roman" w:hint="eastAsia"/>
          <w:bCs/>
          <w:szCs w:val="21"/>
        </w:rPr>
        <w:t>（</w:t>
      </w:r>
      <w:r w:rsidRPr="004973CD">
        <w:rPr>
          <w:rFonts w:ascii="方正大标宋简体" w:eastAsia="方正大标宋简体" w:hAnsi="Times New Roman" w:cs="Times New Roman" w:hint="eastAsia"/>
          <w:bCs/>
          <w:szCs w:val="21"/>
        </w:rPr>
        <w:t>2006</w:t>
      </w:r>
      <w:r w:rsidRPr="004973CD">
        <w:rPr>
          <w:rFonts w:ascii="方正大标宋简体" w:eastAsia="方正大标宋简体" w:hAnsi="华文宋体" w:cs="Times New Roman" w:hint="eastAsia"/>
          <w:bCs/>
          <w:szCs w:val="21"/>
        </w:rPr>
        <w:t>年</w:t>
      </w:r>
      <w:r w:rsidRPr="004973CD">
        <w:rPr>
          <w:rFonts w:ascii="方正大标宋简体" w:eastAsia="方正大标宋简体" w:hAnsi="Times New Roman" w:cs="Times New Roman" w:hint="eastAsia"/>
          <w:bCs/>
          <w:szCs w:val="21"/>
        </w:rPr>
        <w:t>6</w:t>
      </w:r>
      <w:r w:rsidRPr="004973CD">
        <w:rPr>
          <w:rFonts w:ascii="方正大标宋简体" w:eastAsia="方正大标宋简体" w:hAnsi="华文宋体" w:cs="Times New Roman" w:hint="eastAsia"/>
          <w:bCs/>
          <w:szCs w:val="21"/>
        </w:rPr>
        <w:t>月）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 w:hint="eastAsia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第一章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总</w:t>
      </w:r>
      <w:r w:rsidRPr="004973CD">
        <w:rPr>
          <w:rFonts w:ascii="Times New Roman" w:eastAsia="方正宋黑简体" w:hAnsi="Times New Roman" w:cs="宋体"/>
          <w:szCs w:val="20"/>
        </w:rPr>
        <w:t xml:space="preserve">  </w:t>
      </w:r>
      <w:r w:rsidRPr="004973CD">
        <w:rPr>
          <w:rFonts w:ascii="Times New Roman" w:eastAsia="方正宋黑简体" w:hAnsi="Times New Roman" w:cs="宋体" w:hint="eastAsia"/>
          <w:szCs w:val="20"/>
        </w:rPr>
        <w:t>则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第一条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人才培养是学校的根本任务，教学工作是人才培养的主要方法，是学校经常性的中心工作，教师是教学工作参与的主导，是影响教学质量的关键因素。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为了维护稳定正常的教学秩序，使教师更好的履行教书育人的职责，不断深化教学改革，确保教学任务的完成和教学质量的提高，特制定我校教师教学工作规范。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第二章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基本规范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第三条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爱国守法、爱岗敬业。坚持四项基本原则，学习和宣传马列主义、毛泽东思想、邓小平理论和</w:t>
      </w:r>
      <w:r w:rsidRPr="004973CD">
        <w:rPr>
          <w:rFonts w:ascii="Times New Roman" w:eastAsia="华文宋体" w:hAnsi="Times New Roman" w:cs="Times New Roman" w:hint="eastAsia"/>
          <w:kern w:val="0"/>
          <w:szCs w:val="21"/>
        </w:rPr>
        <w:t>“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三个代表</w:t>
      </w:r>
      <w:r w:rsidRPr="004973CD">
        <w:rPr>
          <w:rFonts w:ascii="Times New Roman" w:eastAsia="华文宋体" w:hAnsi="Times New Roman" w:cs="Times New Roman" w:hint="eastAsia"/>
          <w:kern w:val="0"/>
          <w:szCs w:val="21"/>
        </w:rPr>
        <w:t>”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重要思想，拥护党的路线，全面贯彻党和国家的教育方针，同党中央在政治上保持一致，自觉遵守国家的法律规定；热爱教育事业、热爱学校、尽职尽责、教书育人。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第四条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热爱学生、团结协作。关心、爱护学生，促进学生全面发展；相互尊重，互相帮助，关心集体，建立和谐的工作环境，共创文明校风。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第五条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廉洁从教、为人师表。严于律己，作风正派，树立良好的学术道德风范；模范遵守法则和社会公德，仪容仪表得体，举止文明礼貌，说普通话，用规范字，不散播有害学生身心健康的思想和情绪。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第六条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严谨治学、勇于创新。系统掌握本学科的基本理论，基本知识和专业技能，努力学习和掌握现代教育技术及相关学科知识，探索教学规律，改进教学方法，注重实践，勇于创新，不断提高学术水平和教学水平。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第三章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课前准备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第七条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教师在备课前应详细了解学生有关情况，了解相关专业的培养目标和培养计划，明确课程在教学计划中的地位和作用，处理好与相关课程的联系和衔接。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第八条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所有课程的任课教师都应对课程质量全面负责。应提前统筹、组织、安排本课程各环节的教学工作，包括制订教学日历、安排教学进度、组织实验、实习等，并且选定与教学大纲匹配的教材和参考书。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华文宋体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第九条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所有课程的任课教师都要根据教学大纲规定的内容、学时数填写教学日历，教学日历在开课前交教研室主任审核通过后，由教研室留底备查；教材与参考书也要经教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研室主任审核通过后，方可使用。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按照教学大纲要求，认真备课。积极参加教研室开展的集体备课，认真钻研选定的教材，大量阅读参考文献，写好教案，首次开课青年教师应有较详细的讲稿。教案和讲稿应在教学中及时更新和完善，作为反映教师教学水平和备课情况的重要依据，是教学检查的内容之一，应保留备查。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lastRenderedPageBreak/>
        <w:t>第十一条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做好教学课件、模型、挂图、教具、演示实验等教学准备工作，充分运用现代化教学技术，以取得良好的教学效果。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第四章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课堂教学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第十二条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要严格按照教学计划和教学大纲规定的内容进行教学，掌握好教学进度。同一门课程分班教学时，其教学进度和主要内容应按照统一的要求实施教学。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第十三条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教师必须严格按照课表安排的时间和地点按时上课。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第十四条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语言表达准确简练，板书、绘图工整规范；仪表得体。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第十五条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任课教师应及时听取学生及有关方面对课程教学的意见，不断完善和改进教学方法和手段，提高教学效率和质量，注重教学效果，培养学生科学的思维方式、学习方法，自主学习的能力，特别是创新能力。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第十六条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教师应加强课堂管理，严格要求学生遵守课堂纪律，做好课堂考勤记录，并留底备查，对于缺勤、违纪的学生应及时进行批评教育。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第五章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答疑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第十七条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任课教师必须采取定时、定点的方式认真安排辅导答疑。辅导答疑过程中应该重视因材施教，既要帮助基础差的学生，又要注意发现与培养优秀的学生。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第六章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作业（包括实验报告、实习报告、设计报告）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第十八条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教师应根据每门课程的性质和要求布置相应的作业。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第十九条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任课教师应及时、认真批改作业（辅导教师可协助批改部分作业）。对学生按时上交的作业原则上应全部批改；对于少数作业量大的课程，经学院审核批准报教务处备案后可适当减少批改量，但每次作业批改不得少于学生总人数的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>2/3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教师对学生完成作业情况应做好书面记录，并作为课程平时成绩的一部分计入总评成绩内。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第二十一条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对迟交作业的学生，其成绩要酌情扣分，对缺交或抄袭作业的学生应及时批评教育，并责令其重做。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第七章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实践教学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第二十二条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教师必须按照实践教学计划规定的时间、地点和内容安排并指导实习和工程训练。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第二十三条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实验、实习和毕业设计（论文）的指导除应遵守以上要求外，还应按照《西南交通大学实验教学暂行办法》、《西南交通大学学生实习暂行办法》、《西南交通大学本科毕业设计（论文）工作规定（试行）》等有关规定实施教学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第八章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课程考核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第二十四条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课程考核按照《西南交通大学考试管理实施细则》执行。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lastRenderedPageBreak/>
        <w:t>第九章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教授（副教授）为本科生授课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第二十五条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教授、副教授每学年至少要为本科生讲授一门课程，连续两年不讲授本科课程的，不再聘任其担</w:t>
      </w:r>
      <w:smartTag w:uri="urn:schemas-microsoft-com:office:smarttags" w:element="PersonName">
        <w:smartTagPr>
          <w:attr w:name="ProductID" w:val="任"/>
          <w:attr w:name="style" w:val="BACKGROUND-IMAGE: url(res://ietag.dll/#34/#1001); BACKGROUND-REPEAT: repeat-x; BACKGROUND-POSITION: left bottom"/>
          <w:attr w:name="tabIndex" w:val="0"/>
        </w:smartTagPr>
        <w:r w:rsidRPr="004973CD">
          <w:rPr>
            <w:rFonts w:ascii="Times New Roman" w:eastAsia="华文宋体" w:hAnsi="华文宋体" w:cs="Times New Roman" w:hint="eastAsia"/>
            <w:kern w:val="0"/>
            <w:szCs w:val="21"/>
          </w:rPr>
          <w:t>任</w:t>
        </w:r>
      </w:smartTag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教授、副教授职务。</w:t>
      </w:r>
    </w:p>
    <w:p w:rsidR="004973CD" w:rsidRPr="004973CD" w:rsidRDefault="004973CD" w:rsidP="004973CD">
      <w:pPr>
        <w:keepNext/>
        <w:keepLines/>
        <w:snapToGrid w:val="0"/>
        <w:spacing w:before="240" w:after="120"/>
        <w:ind w:firstLineChars="200" w:firstLine="420"/>
        <w:outlineLvl w:val="2"/>
        <w:rPr>
          <w:rFonts w:ascii="Times New Roman" w:eastAsia="方正宋黑简体" w:hAnsi="Times New Roman" w:cs="宋体"/>
          <w:szCs w:val="20"/>
        </w:rPr>
      </w:pPr>
      <w:r w:rsidRPr="004973CD">
        <w:rPr>
          <w:rFonts w:ascii="Times New Roman" w:eastAsia="方正宋黑简体" w:hAnsi="Times New Roman" w:cs="宋体" w:hint="eastAsia"/>
          <w:szCs w:val="20"/>
        </w:rPr>
        <w:t>第十章</w:t>
      </w:r>
      <w:r w:rsidRPr="004973CD">
        <w:rPr>
          <w:rFonts w:ascii="Times New Roman" w:eastAsia="方正宋黑简体" w:hAnsi="Times New Roman" w:cs="宋体"/>
          <w:szCs w:val="20"/>
        </w:rPr>
        <w:t xml:space="preserve"> </w:t>
      </w:r>
      <w:r w:rsidRPr="004973CD">
        <w:rPr>
          <w:rFonts w:ascii="Times New Roman" w:eastAsia="方正宋黑简体" w:hAnsi="Times New Roman" w:cs="宋体" w:hint="eastAsia"/>
          <w:szCs w:val="20"/>
        </w:rPr>
        <w:t>附</w:t>
      </w:r>
      <w:r w:rsidRPr="004973CD">
        <w:rPr>
          <w:rFonts w:ascii="Times New Roman" w:eastAsia="方正宋黑简体" w:hAnsi="Times New Roman" w:cs="宋体"/>
          <w:szCs w:val="20"/>
        </w:rPr>
        <w:t xml:space="preserve">  </w:t>
      </w:r>
      <w:r w:rsidRPr="004973CD">
        <w:rPr>
          <w:rFonts w:ascii="Times New Roman" w:eastAsia="方正宋黑简体" w:hAnsi="Times New Roman" w:cs="宋体" w:hint="eastAsia"/>
          <w:szCs w:val="20"/>
        </w:rPr>
        <w:t>则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第二十六条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本办法由学校授权教务处负责解释。</w:t>
      </w:r>
    </w:p>
    <w:p w:rsidR="004973CD" w:rsidRPr="004973CD" w:rsidRDefault="004973CD" w:rsidP="004973CD">
      <w:pPr>
        <w:widowControl/>
        <w:snapToGrid w:val="0"/>
        <w:spacing w:beforeLines="50" w:line="320" w:lineRule="exact"/>
        <w:ind w:firstLineChars="200" w:firstLine="420"/>
        <w:rPr>
          <w:rFonts w:ascii="Times New Roman" w:eastAsia="华文宋体" w:hAnsi="Times New Roman" w:cs="Times New Roman"/>
          <w:kern w:val="0"/>
          <w:szCs w:val="21"/>
        </w:rPr>
      </w:pP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第二十七条</w:t>
      </w:r>
      <w:r w:rsidRPr="004973CD">
        <w:rPr>
          <w:rFonts w:ascii="Times New Roman" w:eastAsia="华文宋体" w:hAnsi="Times New Roman" w:cs="Times New Roman"/>
          <w:kern w:val="0"/>
          <w:szCs w:val="21"/>
        </w:rPr>
        <w:t xml:space="preserve">  </w:t>
      </w:r>
      <w:r w:rsidRPr="004973CD">
        <w:rPr>
          <w:rFonts w:ascii="Times New Roman" w:eastAsia="华文宋体" w:hAnsi="华文宋体" w:cs="Times New Roman" w:hint="eastAsia"/>
          <w:kern w:val="0"/>
          <w:szCs w:val="21"/>
        </w:rPr>
        <w:t>本办法经校长办公会议审议通过，自公布之日起施行。</w:t>
      </w:r>
    </w:p>
    <w:p w:rsidR="00BA298B" w:rsidRPr="004973CD" w:rsidRDefault="00BA298B"/>
    <w:sectPr w:rsidR="00BA298B" w:rsidRPr="004973CD" w:rsidSect="00BA2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大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宋黑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3CD"/>
    <w:rsid w:val="00196CD7"/>
    <w:rsid w:val="001B75C3"/>
    <w:rsid w:val="004973CD"/>
    <w:rsid w:val="004D69EB"/>
    <w:rsid w:val="00756A88"/>
    <w:rsid w:val="007D2571"/>
    <w:rsid w:val="00850C26"/>
    <w:rsid w:val="00864D02"/>
    <w:rsid w:val="008C00DF"/>
    <w:rsid w:val="00BA298B"/>
    <w:rsid w:val="00BE264A"/>
    <w:rsid w:val="00D72E63"/>
    <w:rsid w:val="00E1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8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4973CD"/>
    <w:pPr>
      <w:keepLines/>
      <w:spacing w:before="260" w:after="260"/>
      <w:jc w:val="center"/>
      <w:outlineLvl w:val="1"/>
    </w:pPr>
    <w:rPr>
      <w:rFonts w:ascii="Arial" w:eastAsia="方正大标宋简体" w:hAnsi="Arial" w:cs="Times New Roman"/>
      <w:bCs/>
      <w:sz w:val="36"/>
      <w:szCs w:val="36"/>
      <w:u w:color="FF00F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73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73CD"/>
    <w:rPr>
      <w:rFonts w:ascii="Arial" w:eastAsia="方正大标宋简体" w:hAnsi="Arial" w:cs="Times New Roman"/>
      <w:bCs/>
      <w:sz w:val="36"/>
      <w:szCs w:val="36"/>
      <w:u w:color="FF00FF"/>
    </w:rPr>
  </w:style>
  <w:style w:type="paragraph" w:styleId="a3">
    <w:name w:val="Plain Text"/>
    <w:basedOn w:val="a"/>
    <w:link w:val="Char"/>
    <w:uiPriority w:val="99"/>
    <w:semiHidden/>
    <w:unhideWhenUsed/>
    <w:rsid w:val="004973C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4973CD"/>
    <w:rPr>
      <w:rFonts w:ascii="宋体" w:eastAsia="宋体" w:hAnsi="宋体" w:cs="Times New Roman"/>
      <w:kern w:val="0"/>
      <w:sz w:val="24"/>
      <w:szCs w:val="24"/>
    </w:rPr>
  </w:style>
  <w:style w:type="paragraph" w:customStyle="1" w:styleId="32">
    <w:name w:val="样式 标题 3 + 首行缩进:  2 字符"/>
    <w:basedOn w:val="3"/>
    <w:next w:val="a"/>
    <w:rsid w:val="004973CD"/>
    <w:pPr>
      <w:spacing w:before="240" w:after="120" w:line="240" w:lineRule="auto"/>
      <w:ind w:firstLineChars="200" w:firstLine="420"/>
    </w:pPr>
    <w:rPr>
      <w:rFonts w:ascii="Times New Roman" w:eastAsia="方正宋黑简体" w:hAnsi="Times New Roman" w:cs="宋体"/>
      <w:b w:val="0"/>
      <w:bCs w:val="0"/>
      <w:sz w:val="21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4973CD"/>
    <w:rPr>
      <w:b/>
      <w:bCs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4973C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973C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2016-06-24T08:01:00Z</dcterms:created>
  <dcterms:modified xsi:type="dcterms:W3CDTF">2016-06-24T08:01:00Z</dcterms:modified>
</cp:coreProperties>
</file>